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B66" w:rsidRPr="00220B66" w:rsidRDefault="00220B66" w:rsidP="00220B66">
      <w:pPr>
        <w:pStyle w:val="NormalWeb"/>
        <w:shd w:val="clear" w:color="auto" w:fill="FFFFFF"/>
        <w:bidi/>
        <w:spacing w:before="204" w:beforeAutospacing="0" w:after="204" w:afterAutospacing="0"/>
        <w:jc w:val="center"/>
        <w:textAlignment w:val="baseline"/>
        <w:rPr>
          <w:rFonts w:ascii="Helvetica" w:hAnsi="Helvetica" w:cs="David"/>
          <w:b/>
          <w:bCs/>
          <w:sz w:val="22"/>
          <w:szCs w:val="22"/>
          <w:u w:val="single"/>
          <w:rtl/>
        </w:rPr>
      </w:pPr>
      <w:r w:rsidRPr="00220B66">
        <w:rPr>
          <w:rFonts w:ascii="Helvetica" w:hAnsi="Helvetica" w:cs="David" w:hint="cs"/>
          <w:b/>
          <w:bCs/>
          <w:sz w:val="22"/>
          <w:szCs w:val="22"/>
          <w:u w:val="single"/>
          <w:rtl/>
        </w:rPr>
        <w:t xml:space="preserve">יבואני ציוד וטובין מחו"ל היזהרו </w:t>
      </w:r>
      <w:r w:rsidRPr="00220B66">
        <w:rPr>
          <w:rFonts w:ascii="Helvetica" w:hAnsi="Helvetica" w:cs="David"/>
          <w:b/>
          <w:bCs/>
          <w:sz w:val="22"/>
          <w:szCs w:val="22"/>
          <w:u w:val="single"/>
          <w:rtl/>
        </w:rPr>
        <w:t>–</w:t>
      </w:r>
      <w:r w:rsidRPr="00220B66">
        <w:rPr>
          <w:rFonts w:ascii="Helvetica" w:hAnsi="Helvetica" w:cs="David" w:hint="cs"/>
          <w:b/>
          <w:bCs/>
          <w:sz w:val="22"/>
          <w:szCs w:val="22"/>
          <w:u w:val="single"/>
          <w:rtl/>
        </w:rPr>
        <w:t xml:space="preserve"> הגבולות בין יצרן לספק מטושטשים</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Pr>
      </w:pPr>
      <w:r>
        <w:rPr>
          <w:rFonts w:ascii="Helvetica" w:hAnsi="Helvetica" w:cs="David" w:hint="cs"/>
          <w:sz w:val="22"/>
          <w:szCs w:val="22"/>
          <w:rtl/>
        </w:rPr>
        <w:t>ב</w:t>
      </w:r>
      <w:r w:rsidRPr="00220B66">
        <w:rPr>
          <w:rFonts w:ascii="Helvetica" w:hAnsi="Helvetica" w:cs="David"/>
          <w:sz w:val="22"/>
          <w:szCs w:val="22"/>
          <w:rtl/>
        </w:rPr>
        <w:t xml:space="preserve">תאריך 17.1.10 התקבל בבית המשפט העליון ערעורם של הראל חברה לביטוח וחברת </w:t>
      </w:r>
      <w:proofErr w:type="spellStart"/>
      <w:r w:rsidRPr="00220B66">
        <w:rPr>
          <w:rFonts w:ascii="Helvetica" w:hAnsi="Helvetica" w:cs="David"/>
          <w:sz w:val="22"/>
          <w:szCs w:val="22"/>
          <w:rtl/>
        </w:rPr>
        <w:t>נורדן</w:t>
      </w:r>
      <w:proofErr w:type="spellEnd"/>
      <w:r w:rsidRPr="00220B66">
        <w:rPr>
          <w:rFonts w:ascii="Helvetica" w:hAnsi="Helvetica" w:cs="David"/>
          <w:sz w:val="22"/>
          <w:szCs w:val="22"/>
          <w:rtl/>
        </w:rPr>
        <w:t xml:space="preserve"> אנרגיה על פס"ד של ביהמ"ש המחוזי בתל-אביב אשר דחה את התביעה שהגישו אלה כנגד חברת</w:t>
      </w:r>
      <w:r w:rsidRPr="00220B66">
        <w:rPr>
          <w:rFonts w:ascii="Helvetica" w:hAnsi="Helvetica" w:cs="David"/>
          <w:sz w:val="22"/>
          <w:szCs w:val="22"/>
        </w:rPr>
        <w:t xml:space="preserve"> </w:t>
      </w:r>
      <w:proofErr w:type="spellStart"/>
      <w:r w:rsidRPr="00220B66">
        <w:rPr>
          <w:rFonts w:ascii="Helvetica" w:hAnsi="Helvetica" w:cs="David"/>
          <w:sz w:val="22"/>
          <w:szCs w:val="22"/>
        </w:rPr>
        <w:t>BTR</w:t>
      </w:r>
      <w:proofErr w:type="spellEnd"/>
      <w:r w:rsidRPr="00220B66">
        <w:rPr>
          <w:rFonts w:ascii="Helvetica" w:hAnsi="Helvetica" w:cs="David"/>
          <w:sz w:val="22"/>
          <w:szCs w:val="22"/>
        </w:rPr>
        <w:t xml:space="preserve"> </w:t>
      </w:r>
      <w:r>
        <w:rPr>
          <w:rFonts w:ascii="Helvetica" w:hAnsi="Helvetica" w:cs="David" w:hint="cs"/>
          <w:sz w:val="22"/>
          <w:szCs w:val="22"/>
          <w:rtl/>
        </w:rPr>
        <w:t>(</w:t>
      </w:r>
      <w:r w:rsidRPr="00220B66">
        <w:rPr>
          <w:rFonts w:ascii="Helvetica" w:hAnsi="Helvetica" w:cs="David"/>
          <w:sz w:val="22"/>
          <w:szCs w:val="22"/>
          <w:rtl/>
        </w:rPr>
        <w:t xml:space="preserve">חברה זרה) לאחר שבעקבות נזק שנגרם למפעל </w:t>
      </w:r>
      <w:proofErr w:type="spellStart"/>
      <w:r w:rsidRPr="00220B66">
        <w:rPr>
          <w:rFonts w:ascii="Helvetica" w:hAnsi="Helvetica" w:cs="David"/>
          <w:sz w:val="22"/>
          <w:szCs w:val="22"/>
          <w:rtl/>
        </w:rPr>
        <w:t>נורדן</w:t>
      </w:r>
      <w:proofErr w:type="spellEnd"/>
      <w:r w:rsidRPr="00220B66">
        <w:rPr>
          <w:rFonts w:ascii="Helvetica" w:hAnsi="Helvetica" w:cs="David"/>
          <w:sz w:val="22"/>
          <w:szCs w:val="22"/>
          <w:rtl/>
        </w:rPr>
        <w:t xml:space="preserve"> בשל פגם בריתוך של מסנן שמן שהתפוצץ שיפתה הראל את חברת </w:t>
      </w:r>
      <w:proofErr w:type="spellStart"/>
      <w:r w:rsidRPr="00220B66">
        <w:rPr>
          <w:rFonts w:ascii="Helvetica" w:hAnsi="Helvetica" w:cs="David"/>
          <w:sz w:val="22"/>
          <w:szCs w:val="22"/>
          <w:rtl/>
        </w:rPr>
        <w:t>נורדן</w:t>
      </w:r>
      <w:proofErr w:type="spellEnd"/>
      <w:r w:rsidRPr="00220B66">
        <w:rPr>
          <w:rFonts w:ascii="Helvetica" w:hAnsi="Helvetica" w:cs="David"/>
          <w:sz w:val="22"/>
          <w:szCs w:val="22"/>
          <w:rtl/>
        </w:rPr>
        <w:t xml:space="preserve"> שהייתה מבוטחת אצלה. באי כוחה של חברת</w:t>
      </w:r>
      <w:r w:rsidRPr="00220B66">
        <w:rPr>
          <w:rFonts w:ascii="Helvetica" w:hAnsi="Helvetica" w:cs="David"/>
          <w:sz w:val="22"/>
          <w:szCs w:val="22"/>
        </w:rPr>
        <w:t xml:space="preserve"> </w:t>
      </w:r>
      <w:proofErr w:type="spellStart"/>
      <w:r w:rsidRPr="00220B66">
        <w:rPr>
          <w:rFonts w:ascii="Helvetica" w:hAnsi="Helvetica" w:cs="David"/>
          <w:sz w:val="22"/>
          <w:szCs w:val="22"/>
        </w:rPr>
        <w:t>BTR</w:t>
      </w:r>
      <w:proofErr w:type="spellEnd"/>
      <w:r w:rsidRPr="00220B66">
        <w:rPr>
          <w:rFonts w:ascii="Helvetica" w:hAnsi="Helvetica" w:cs="David"/>
          <w:sz w:val="22"/>
          <w:szCs w:val="22"/>
        </w:rPr>
        <w:t xml:space="preserve"> </w:t>
      </w:r>
      <w:r w:rsidRPr="00220B66">
        <w:rPr>
          <w:rFonts w:ascii="Helvetica" w:hAnsi="Helvetica" w:cs="David"/>
          <w:sz w:val="22"/>
          <w:szCs w:val="22"/>
          <w:rtl/>
        </w:rPr>
        <w:t>טענו כי חברה אחרת</w:t>
      </w:r>
      <w:r w:rsidRPr="00220B66">
        <w:rPr>
          <w:rFonts w:ascii="Helvetica" w:hAnsi="Helvetica" w:cs="David"/>
          <w:sz w:val="22"/>
          <w:szCs w:val="22"/>
        </w:rPr>
        <w:t xml:space="preserve"> (</w:t>
      </w:r>
      <w:proofErr w:type="spellStart"/>
      <w:r w:rsidRPr="00220B66">
        <w:rPr>
          <w:rFonts w:ascii="Helvetica" w:hAnsi="Helvetica" w:cs="David"/>
          <w:sz w:val="22"/>
          <w:szCs w:val="22"/>
        </w:rPr>
        <w:t>VOKES</w:t>
      </w:r>
      <w:proofErr w:type="spellEnd"/>
      <w:r w:rsidRPr="00220B66">
        <w:rPr>
          <w:rFonts w:ascii="Helvetica" w:hAnsi="Helvetica" w:cs="David"/>
          <w:sz w:val="22"/>
          <w:szCs w:val="22"/>
        </w:rPr>
        <w:t xml:space="preserve">) </w:t>
      </w:r>
      <w:r w:rsidRPr="00220B66">
        <w:rPr>
          <w:rFonts w:ascii="Helvetica" w:hAnsi="Helvetica" w:cs="David"/>
          <w:sz w:val="22"/>
          <w:szCs w:val="22"/>
          <w:rtl/>
        </w:rPr>
        <w:t>היא יצרנית המסנן ולכן אין לתובעים עילת תביעה כנגד</w:t>
      </w:r>
      <w:r w:rsidRPr="00220B66">
        <w:rPr>
          <w:rFonts w:ascii="Helvetica" w:hAnsi="Helvetica" w:cs="David"/>
          <w:sz w:val="22"/>
          <w:szCs w:val="22"/>
        </w:rPr>
        <w:t xml:space="preserve"> </w:t>
      </w:r>
      <w:proofErr w:type="spellStart"/>
      <w:r w:rsidRPr="00220B66">
        <w:rPr>
          <w:rFonts w:ascii="Helvetica" w:hAnsi="Helvetica" w:cs="David"/>
          <w:sz w:val="22"/>
          <w:szCs w:val="22"/>
        </w:rPr>
        <w:t>BTR</w:t>
      </w:r>
      <w:proofErr w:type="spellEnd"/>
      <w:r w:rsidRPr="00220B66">
        <w:rPr>
          <w:rFonts w:ascii="Helvetica" w:hAnsi="Helvetica" w:cs="David"/>
          <w:sz w:val="22"/>
          <w:szCs w:val="22"/>
        </w:rPr>
        <w:t xml:space="preserve"> </w:t>
      </w:r>
      <w:r w:rsidRPr="00220B66">
        <w:rPr>
          <w:rFonts w:ascii="Helvetica" w:hAnsi="Helvetica" w:cs="David"/>
          <w:sz w:val="22"/>
          <w:szCs w:val="22"/>
          <w:rtl/>
        </w:rPr>
        <w:t>שהייתה רק הספקית ובפרט שהוכח, לטענתם, כי התובעת הגישה תביעתה בגין נזק שנגרם כתוצאה מפגם בייצור עצמו</w:t>
      </w:r>
      <w:r w:rsidRPr="00220B66">
        <w:rPr>
          <w:rFonts w:ascii="Helvetica" w:hAnsi="Helvetica" w:cs="David"/>
          <w:sz w:val="22"/>
          <w:szCs w:val="22"/>
        </w:rPr>
        <w:t>.</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Pr>
      </w:pPr>
      <w:r w:rsidRPr="00220B66">
        <w:rPr>
          <w:rFonts w:ascii="Helvetica" w:hAnsi="Helvetica" w:cs="David"/>
          <w:b/>
          <w:bCs/>
          <w:sz w:val="22"/>
          <w:szCs w:val="22"/>
          <w:rtl/>
        </w:rPr>
        <w:t>ביהמ"ש קבע כי חוק המכר אינו מבחין בין מוכר שהוא יצרן לבין מוכר שהוא ספק בלבד</w:t>
      </w:r>
      <w:r w:rsidRPr="00220B66">
        <w:rPr>
          <w:rFonts w:ascii="Helvetica" w:hAnsi="Helvetica" w:cs="David"/>
          <w:sz w:val="22"/>
          <w:szCs w:val="22"/>
        </w:rPr>
        <w:t>!</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b/>
          <w:bCs/>
          <w:sz w:val="22"/>
          <w:szCs w:val="22"/>
        </w:rPr>
      </w:pPr>
      <w:r w:rsidRPr="00220B66">
        <w:rPr>
          <w:rFonts w:ascii="Helvetica" w:hAnsi="Helvetica" w:cs="David"/>
          <w:sz w:val="22"/>
          <w:szCs w:val="22"/>
          <w:rtl/>
        </w:rPr>
        <w:t>בקביעתו הסתמך ביהמ"ש העליון על סעיף 1 לתוספת לחוק המכר (מכר טובין בין לאומי), תשל"א-1971 הקובע כי</w:t>
      </w:r>
      <w:r w:rsidRPr="00220B66">
        <w:rPr>
          <w:rFonts w:ascii="Helvetica" w:hAnsi="Helvetica" w:cs="David"/>
          <w:sz w:val="22"/>
          <w:szCs w:val="22"/>
        </w:rPr>
        <w:t>:</w:t>
      </w:r>
      <w:r w:rsidRPr="00220B66">
        <w:rPr>
          <w:rFonts w:ascii="Helvetica" w:hAnsi="Helvetica" w:cs="David"/>
          <w:sz w:val="22"/>
          <w:szCs w:val="22"/>
        </w:rPr>
        <w:br/>
        <w:t>1</w:t>
      </w:r>
      <w:r w:rsidRPr="00220B66">
        <w:rPr>
          <w:rFonts w:ascii="Helvetica" w:hAnsi="Helvetica" w:cs="David"/>
          <w:b/>
          <w:bCs/>
          <w:sz w:val="22"/>
          <w:szCs w:val="22"/>
        </w:rPr>
        <w:t>"</w:t>
      </w:r>
      <w:r w:rsidRPr="00220B66">
        <w:rPr>
          <w:rFonts w:ascii="Helvetica" w:hAnsi="Helvetica" w:cs="David" w:hint="cs"/>
          <w:b/>
          <w:bCs/>
          <w:sz w:val="22"/>
          <w:szCs w:val="22"/>
          <w:rtl/>
        </w:rPr>
        <w:t>(</w:t>
      </w:r>
      <w:r w:rsidRPr="00220B66">
        <w:rPr>
          <w:rFonts w:ascii="Helvetica" w:hAnsi="Helvetica" w:cs="David"/>
          <w:b/>
          <w:bCs/>
          <w:sz w:val="22"/>
          <w:szCs w:val="22"/>
          <w:rtl/>
        </w:rPr>
        <w:t>א) חוק זה יחול על חוזים למכר טובין שהתקשרו בהם צדדים שמקומות עסקיהם נמצאים בשטחיהן של מדינות שונות, ובאחת הנסיבות האלה</w:t>
      </w:r>
      <w:r w:rsidRPr="00220B66">
        <w:rPr>
          <w:rFonts w:ascii="Helvetica" w:hAnsi="Helvetica" w:cs="David"/>
          <w:b/>
          <w:bCs/>
          <w:sz w:val="22"/>
          <w:szCs w:val="22"/>
        </w:rPr>
        <w:t>:</w:t>
      </w:r>
      <w:r w:rsidRPr="00220B66">
        <w:rPr>
          <w:rFonts w:ascii="Helvetica" w:hAnsi="Helvetica" w:cs="David"/>
          <w:b/>
          <w:bCs/>
          <w:sz w:val="22"/>
          <w:szCs w:val="22"/>
        </w:rPr>
        <w:br/>
        <w:t xml:space="preserve"> (1) </w:t>
      </w:r>
      <w:r w:rsidRPr="00220B66">
        <w:rPr>
          <w:rFonts w:ascii="Helvetica" w:hAnsi="Helvetica" w:cs="David"/>
          <w:b/>
          <w:bCs/>
          <w:sz w:val="22"/>
          <w:szCs w:val="22"/>
          <w:rtl/>
        </w:rPr>
        <w:t>חוזה המכר מוסב על טובין שבעת עשיית החוזה הם מובלים, או עומדים להיות מובלים, משטחה של מדינה אחת לשטחה של מדינה אחרת</w:t>
      </w:r>
      <w:r w:rsidRPr="00220B66">
        <w:rPr>
          <w:rFonts w:ascii="Helvetica" w:hAnsi="Helvetica" w:cs="David"/>
          <w:b/>
          <w:bCs/>
          <w:sz w:val="22"/>
          <w:szCs w:val="22"/>
        </w:rPr>
        <w:t>;</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b/>
          <w:bCs/>
          <w:sz w:val="22"/>
          <w:szCs w:val="22"/>
          <w:rtl/>
        </w:rPr>
      </w:pPr>
      <w:r>
        <w:rPr>
          <w:rFonts w:ascii="Helvetica" w:hAnsi="Helvetica" w:cs="David"/>
          <w:sz w:val="22"/>
          <w:szCs w:val="22"/>
        </w:rPr>
        <w:t xml:space="preserve"> </w:t>
      </w:r>
      <w:r w:rsidRPr="00220B66">
        <w:rPr>
          <w:rFonts w:ascii="Helvetica" w:hAnsi="Helvetica" w:cs="David"/>
          <w:b/>
          <w:bCs/>
          <w:sz w:val="22"/>
          <w:szCs w:val="22"/>
        </w:rPr>
        <w:t xml:space="preserve">(2) </w:t>
      </w:r>
      <w:r w:rsidRPr="00220B66">
        <w:rPr>
          <w:rFonts w:ascii="Helvetica" w:hAnsi="Helvetica" w:cs="David"/>
          <w:b/>
          <w:bCs/>
          <w:sz w:val="22"/>
          <w:szCs w:val="22"/>
          <w:rtl/>
        </w:rPr>
        <w:t>ההצעה והקיבול היו בשטחיהן של מדינות שונות</w:t>
      </w:r>
      <w:r w:rsidRPr="00220B66">
        <w:rPr>
          <w:rFonts w:ascii="Helvetica" w:hAnsi="Helvetica" w:cs="David"/>
          <w:b/>
          <w:bCs/>
          <w:sz w:val="22"/>
          <w:szCs w:val="22"/>
        </w:rPr>
        <w:t>…</w:t>
      </w:r>
      <w:proofErr w:type="gramStart"/>
      <w:r w:rsidRPr="00220B66">
        <w:rPr>
          <w:rFonts w:ascii="Helvetica" w:hAnsi="Helvetica" w:cs="David" w:hint="cs"/>
          <w:b/>
          <w:bCs/>
          <w:sz w:val="22"/>
          <w:szCs w:val="22"/>
          <w:rtl/>
        </w:rPr>
        <w:t>".</w:t>
      </w:r>
      <w:proofErr w:type="gramEnd"/>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8"/>
          <w:szCs w:val="6"/>
          <w:rtl/>
        </w:rPr>
      </w:pPr>
      <w:r w:rsidRPr="00220B66">
        <w:rPr>
          <w:rFonts w:ascii="Helvetica" w:hAnsi="Helvetica" w:cs="David"/>
          <w:sz w:val="22"/>
          <w:szCs w:val="22"/>
          <w:rtl/>
        </w:rPr>
        <w:t xml:space="preserve">כיון "שמקומות עסקיהם" של </w:t>
      </w:r>
      <w:proofErr w:type="spellStart"/>
      <w:r w:rsidRPr="00220B66">
        <w:rPr>
          <w:rFonts w:ascii="Helvetica" w:hAnsi="Helvetica" w:cs="David"/>
          <w:sz w:val="22"/>
          <w:szCs w:val="22"/>
          <w:rtl/>
        </w:rPr>
        <w:t>נורדן</w:t>
      </w:r>
      <w:proofErr w:type="spellEnd"/>
      <w:r w:rsidRPr="00220B66">
        <w:rPr>
          <w:rFonts w:ascii="Helvetica" w:hAnsi="Helvetica" w:cs="David"/>
          <w:sz w:val="22"/>
          <w:szCs w:val="22"/>
          <w:rtl/>
        </w:rPr>
        <w:t xml:space="preserve"> וחברת</w:t>
      </w:r>
      <w:r w:rsidRPr="00220B66">
        <w:rPr>
          <w:rFonts w:ascii="Helvetica" w:hAnsi="Helvetica" w:cs="David"/>
          <w:sz w:val="22"/>
          <w:szCs w:val="22"/>
        </w:rPr>
        <w:t xml:space="preserve"> </w:t>
      </w:r>
      <w:proofErr w:type="spellStart"/>
      <w:r w:rsidRPr="00220B66">
        <w:rPr>
          <w:rFonts w:ascii="Helvetica" w:hAnsi="Helvetica" w:cs="David"/>
          <w:sz w:val="22"/>
          <w:szCs w:val="22"/>
        </w:rPr>
        <w:t>BTR</w:t>
      </w:r>
      <w:proofErr w:type="spellEnd"/>
      <w:r w:rsidRPr="00220B66">
        <w:rPr>
          <w:rFonts w:ascii="Helvetica" w:hAnsi="Helvetica" w:cs="David"/>
          <w:sz w:val="22"/>
          <w:szCs w:val="22"/>
        </w:rPr>
        <w:t xml:space="preserve"> </w:t>
      </w:r>
      <w:r w:rsidRPr="00220B66">
        <w:rPr>
          <w:rFonts w:ascii="Helvetica" w:hAnsi="Helvetica" w:cs="David"/>
          <w:sz w:val="22"/>
          <w:szCs w:val="22"/>
          <w:rtl/>
        </w:rPr>
        <w:t xml:space="preserve">נמצאים בשטחיהן של </w:t>
      </w:r>
      <w:r>
        <w:rPr>
          <w:rFonts w:ascii="Helvetica" w:hAnsi="Helvetica" w:cs="David" w:hint="cs"/>
          <w:sz w:val="22"/>
          <w:szCs w:val="22"/>
          <w:rtl/>
        </w:rPr>
        <w:t>"</w:t>
      </w:r>
      <w:r w:rsidRPr="00220B66">
        <w:rPr>
          <w:rFonts w:ascii="Helvetica" w:hAnsi="Helvetica" w:cs="David"/>
          <w:sz w:val="22"/>
          <w:szCs w:val="22"/>
          <w:rtl/>
        </w:rPr>
        <w:t>מדינות שונות", וכיון שאת המסננים היה צריך להוביל מאנגליה לישראל או לחלופין</w:t>
      </w:r>
      <w:r>
        <w:rPr>
          <w:rFonts w:ascii="Helvetica" w:hAnsi="Helvetica" w:cs="David" w:hint="cs"/>
          <w:sz w:val="22"/>
          <w:szCs w:val="22"/>
          <w:rtl/>
        </w:rPr>
        <w:t>,</w:t>
      </w:r>
      <w:r w:rsidRPr="00220B66">
        <w:rPr>
          <w:rFonts w:ascii="Helvetica" w:hAnsi="Helvetica" w:cs="David"/>
          <w:sz w:val="22"/>
          <w:szCs w:val="22"/>
          <w:rtl/>
        </w:rPr>
        <w:t xml:space="preserve"> כיוון שההצעה והקיבול היו בשטחיהן של </w:t>
      </w:r>
      <w:r>
        <w:rPr>
          <w:rFonts w:ascii="Helvetica" w:hAnsi="Helvetica" w:cs="David" w:hint="cs"/>
          <w:sz w:val="22"/>
          <w:szCs w:val="22"/>
          <w:rtl/>
        </w:rPr>
        <w:t>"</w:t>
      </w:r>
      <w:r w:rsidRPr="00220B66">
        <w:rPr>
          <w:rFonts w:ascii="Helvetica" w:hAnsi="Helvetica" w:cs="David"/>
          <w:sz w:val="22"/>
          <w:szCs w:val="22"/>
          <w:rtl/>
        </w:rPr>
        <w:t>מדינות שונות" חל חוק מכר בינלאומי</w:t>
      </w:r>
      <w:r w:rsidRPr="00220B66">
        <w:rPr>
          <w:rFonts w:ascii="Helvetica" w:hAnsi="Helvetica" w:cs="David"/>
          <w:sz w:val="22"/>
          <w:szCs w:val="22"/>
        </w:rPr>
        <w:t>.</w:t>
      </w:r>
      <w:r w:rsidRPr="00220B66">
        <w:rPr>
          <w:rFonts w:ascii="Helvetica" w:hAnsi="Helvetica" w:cs="David"/>
          <w:sz w:val="22"/>
          <w:szCs w:val="22"/>
        </w:rPr>
        <w:br/>
      </w:r>
    </w:p>
    <w:p w:rsid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tl/>
        </w:rPr>
      </w:pPr>
      <w:r w:rsidRPr="00220B66">
        <w:rPr>
          <w:rFonts w:ascii="Helvetica" w:hAnsi="Helvetica" w:cs="David"/>
          <w:sz w:val="22"/>
          <w:szCs w:val="22"/>
          <w:rtl/>
        </w:rPr>
        <w:t xml:space="preserve">כיון שהעסקה בוצעה לפני 5.2.2000 [תאריך הכניסה לתוקף של חוק המכר (מכר טובין בין לאומי),תש"ס-1999 (ראו מסגרת להלן) החוק החל הוא החוק משנת 1971("החוק") ולא החוק משנת 1999. </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Pr>
      </w:pPr>
      <w:r w:rsidRPr="00220B66">
        <w:rPr>
          <w:rFonts w:ascii="Helvetica" w:hAnsi="Helvetica" w:cs="David"/>
          <w:sz w:val="22"/>
          <w:szCs w:val="22"/>
          <w:rtl/>
        </w:rPr>
        <w:t>עוד קבע ביהמ"ש כי ברור כי החוק אינו מבחין בין מוכר שיצר את הטובין בעצמו לבין מוכר שהוא ספק בלבד! יתר על כן, קבע ביהמ"ש כי להבחנה בין מוכר שהוא רק ספק לבין מוכר שהוא גם יצרן יכולות להיות השלכות משפטיות אחרות, שכן סעיף 8 לתוספת לחוק ("התוספת") קובע כי: "חוק זה מסדיר אך ורק את חיובי המוכר והקונה הנובעים מחוזה המכר" (ההדגשה שלי- א.ק.) מכך עולה כי אין מניעה עקרונית לתבוע את יצרנית המסנן הפגום גם בעילה נזיקית רגילה. ביהמ"</w:t>
      </w:r>
      <w:r>
        <w:rPr>
          <w:rFonts w:ascii="Helvetica" w:hAnsi="Helvetica" w:cs="David"/>
          <w:sz w:val="22"/>
          <w:szCs w:val="22"/>
          <w:rtl/>
        </w:rPr>
        <w:t xml:space="preserve">ש ציטט את עצמו בפס"ד בעניין </w:t>
      </w:r>
      <w:r>
        <w:rPr>
          <w:rFonts w:ascii="Helvetica" w:hAnsi="Helvetica" w:cs="David" w:hint="cs"/>
          <w:sz w:val="22"/>
          <w:szCs w:val="22"/>
          <w:rtl/>
        </w:rPr>
        <w:t xml:space="preserve">חברת </w:t>
      </w:r>
      <w:proofErr w:type="spellStart"/>
      <w:r>
        <w:rPr>
          <w:rFonts w:ascii="Helvetica" w:hAnsi="Helvetica" w:cs="David"/>
          <w:sz w:val="22"/>
          <w:szCs w:val="22"/>
        </w:rPr>
        <w:t>Pamesa</w:t>
      </w:r>
      <w:proofErr w:type="spellEnd"/>
      <w:r>
        <w:rPr>
          <w:rFonts w:ascii="Helvetica" w:hAnsi="Helvetica" w:cs="David" w:hint="cs"/>
          <w:sz w:val="22"/>
          <w:szCs w:val="22"/>
          <w:rtl/>
        </w:rPr>
        <w:t>:</w:t>
      </w:r>
      <w:r w:rsidRPr="00220B66">
        <w:rPr>
          <w:rFonts w:ascii="Helvetica" w:hAnsi="Helvetica" w:cs="David"/>
          <w:sz w:val="22"/>
          <w:szCs w:val="22"/>
        </w:rPr>
        <w:br/>
      </w:r>
      <w:r w:rsidRPr="00220B66">
        <w:rPr>
          <w:rFonts w:ascii="Helvetica" w:hAnsi="Helvetica" w:cs="David"/>
          <w:i/>
          <w:iCs/>
          <w:sz w:val="22"/>
          <w:szCs w:val="22"/>
        </w:rPr>
        <w:t>"</w:t>
      </w:r>
      <w:r w:rsidRPr="00220B66">
        <w:rPr>
          <w:rFonts w:ascii="Helvetica" w:hAnsi="Helvetica" w:cs="David"/>
          <w:i/>
          <w:iCs/>
          <w:sz w:val="22"/>
          <w:szCs w:val="22"/>
          <w:rtl/>
        </w:rPr>
        <w:t>האמנה, שעניינה חוזה מכר, מתייחסת למוכר וקונה, לחובותיהם ולזכויותיהם. קיום רשלני של חובת המוכר לפי החוזה יטופל ככלל במסגרת האמנה; ואילו זכות התביעה בגין ייצור רשלני אינה נובעת מחוזה המכר, אלא מהפרת חובת היצרן</w:t>
      </w:r>
      <w:r w:rsidRPr="00220B66">
        <w:rPr>
          <w:rFonts w:ascii="Helvetica" w:hAnsi="Helvetica" w:cs="David"/>
          <w:i/>
          <w:iCs/>
          <w:sz w:val="22"/>
          <w:szCs w:val="22"/>
        </w:rPr>
        <w:t>-(Breach of Duty) (</w:t>
      </w:r>
      <w:r w:rsidRPr="00220B66">
        <w:rPr>
          <w:rFonts w:ascii="Helvetica" w:hAnsi="Helvetica" w:cs="David"/>
          <w:i/>
          <w:iCs/>
          <w:sz w:val="22"/>
          <w:szCs w:val="22"/>
          <w:rtl/>
        </w:rPr>
        <w:t>ההדגשות והתוספות באנגלית שלי-א.ק.) ולפיכך יתכן לה קיום עצמאי גם ללא קשר חוזי. על הפרת חובות זהירות</w:t>
      </w:r>
      <w:r w:rsidRPr="00220B66">
        <w:rPr>
          <w:rFonts w:ascii="Helvetica" w:hAnsi="Helvetica" w:cs="David"/>
          <w:i/>
          <w:iCs/>
          <w:sz w:val="22"/>
          <w:szCs w:val="22"/>
        </w:rPr>
        <w:t xml:space="preserve"> (Breach of Duty of Care) </w:t>
      </w:r>
      <w:r w:rsidRPr="00220B66">
        <w:rPr>
          <w:rFonts w:ascii="Helvetica" w:hAnsi="Helvetica" w:cs="David"/>
          <w:i/>
          <w:iCs/>
          <w:sz w:val="22"/>
          <w:szCs w:val="22"/>
          <w:rtl/>
        </w:rPr>
        <w:t>של יצרן ניתן ככלל לתבוע גם ללא קשר חוזי ישיר בין הניזוק ליצרן – ולפיכך ניתן להניח שאין היא כפופה לאמנה המחילה עצמה על חוזי מכר בלבד</w:t>
      </w:r>
      <w:r w:rsidRPr="00220B66">
        <w:rPr>
          <w:rFonts w:ascii="Helvetica" w:hAnsi="Helvetica" w:cs="David"/>
          <w:sz w:val="22"/>
          <w:szCs w:val="22"/>
        </w:rPr>
        <w:t>".</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Pr>
      </w:pPr>
      <w:r w:rsidRPr="00220B66">
        <w:rPr>
          <w:rFonts w:ascii="Helvetica" w:hAnsi="Helvetica" w:cs="David"/>
          <w:sz w:val="22"/>
          <w:szCs w:val="22"/>
          <w:rtl/>
        </w:rPr>
        <w:t xml:space="preserve">מן האמור לעיל, קובע ביהמ"ש העליון כי ככול שנראה בהליך הנוכחי כתביעה של חברת </w:t>
      </w:r>
      <w:proofErr w:type="spellStart"/>
      <w:r w:rsidRPr="00220B66">
        <w:rPr>
          <w:rFonts w:ascii="Helvetica" w:hAnsi="Helvetica" w:cs="David"/>
          <w:sz w:val="22"/>
          <w:szCs w:val="22"/>
          <w:rtl/>
        </w:rPr>
        <w:t>נורדן</w:t>
      </w:r>
      <w:proofErr w:type="spellEnd"/>
      <w:r w:rsidRPr="00220B66">
        <w:rPr>
          <w:rFonts w:ascii="Helvetica" w:hAnsi="Helvetica" w:cs="David"/>
          <w:sz w:val="22"/>
          <w:szCs w:val="22"/>
          <w:rtl/>
        </w:rPr>
        <w:t xml:space="preserve"> בגין הפרת חוזה לאספקת "טובין שאין בהם הסגולות הדרושות לשימושם הרגיל או המסחרי" (סעיף 33(א)(4) לתוספת) (="אי התאמה")-חלות עליה הוראות חוק מכר בינלאומי הכוללות (בסעיף 82 לתוספת) גם פיצויים בגין נזקים עקיפים (הפסד ריווח צפוי). ואילו ככול שנראה בתביעה, תביעה בגין רשלנות בייצור, הריהי תביעת נזיקין רגילה לפי הדין הישראלי (בכפוף לכללי ברירת הדין החל) וכל אשר נותר הוא להוכיח הקשר הסיבתי בין פגם המסנן לנזקי </w:t>
      </w:r>
      <w:proofErr w:type="spellStart"/>
      <w:r w:rsidRPr="00220B66">
        <w:rPr>
          <w:rFonts w:ascii="Helvetica" w:hAnsi="Helvetica" w:cs="David"/>
          <w:sz w:val="22"/>
          <w:szCs w:val="22"/>
          <w:rtl/>
        </w:rPr>
        <w:t>נורדן</w:t>
      </w:r>
      <w:proofErr w:type="spellEnd"/>
      <w:r w:rsidRPr="00220B66">
        <w:rPr>
          <w:rFonts w:ascii="Helvetica" w:hAnsi="Helvetica" w:cs="David"/>
          <w:sz w:val="22"/>
          <w:szCs w:val="22"/>
        </w:rPr>
        <w:t>.</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Pr>
      </w:pPr>
      <w:r w:rsidRPr="00220B66">
        <w:rPr>
          <w:rFonts w:ascii="Helvetica" w:hAnsi="Helvetica" w:cs="David"/>
          <w:sz w:val="22"/>
          <w:szCs w:val="22"/>
          <w:rtl/>
        </w:rPr>
        <w:t>ביהמ"ש מסכם נקודה זו וקובע כי מפרוט העובדות והעילות שהוגשו לביהמ"ש יש לראות בחברת</w:t>
      </w:r>
      <w:r w:rsidRPr="00220B66">
        <w:rPr>
          <w:rFonts w:ascii="Helvetica" w:hAnsi="Helvetica" w:cs="David"/>
          <w:sz w:val="22"/>
          <w:szCs w:val="22"/>
        </w:rPr>
        <w:t xml:space="preserve"> </w:t>
      </w:r>
      <w:proofErr w:type="spellStart"/>
      <w:r w:rsidRPr="00220B66">
        <w:rPr>
          <w:rFonts w:ascii="Helvetica" w:hAnsi="Helvetica" w:cs="David"/>
          <w:sz w:val="22"/>
          <w:szCs w:val="22"/>
        </w:rPr>
        <w:t>BTR</w:t>
      </w:r>
      <w:proofErr w:type="spellEnd"/>
      <w:r w:rsidRPr="00220B66">
        <w:rPr>
          <w:rFonts w:ascii="Helvetica" w:hAnsi="Helvetica" w:cs="David"/>
          <w:sz w:val="22"/>
          <w:szCs w:val="22"/>
        </w:rPr>
        <w:t xml:space="preserve"> </w:t>
      </w:r>
      <w:r w:rsidRPr="00220B66">
        <w:rPr>
          <w:rFonts w:ascii="Helvetica" w:hAnsi="Helvetica" w:cs="David"/>
          <w:sz w:val="22"/>
          <w:szCs w:val="22"/>
          <w:rtl/>
        </w:rPr>
        <w:t>יצרנית המסנן שכשל וספקית שלו כאחת! אשר על כן, ניתן לתבוע את חברת</w:t>
      </w:r>
      <w:r w:rsidRPr="00220B66">
        <w:rPr>
          <w:rFonts w:ascii="Helvetica" w:hAnsi="Helvetica" w:cs="David"/>
          <w:sz w:val="22"/>
          <w:szCs w:val="22"/>
        </w:rPr>
        <w:t xml:space="preserve"> </w:t>
      </w:r>
      <w:proofErr w:type="spellStart"/>
      <w:r w:rsidRPr="00220B66">
        <w:rPr>
          <w:rFonts w:ascii="Helvetica" w:hAnsi="Helvetica" w:cs="David"/>
          <w:sz w:val="22"/>
          <w:szCs w:val="22"/>
        </w:rPr>
        <w:t>BTR</w:t>
      </w:r>
      <w:proofErr w:type="spellEnd"/>
      <w:r w:rsidRPr="00220B66">
        <w:rPr>
          <w:rFonts w:ascii="Helvetica" w:hAnsi="Helvetica" w:cs="David"/>
          <w:sz w:val="22"/>
          <w:szCs w:val="22"/>
        </w:rPr>
        <w:t xml:space="preserve"> </w:t>
      </w:r>
      <w:r w:rsidRPr="00220B66">
        <w:rPr>
          <w:rFonts w:ascii="Helvetica" w:hAnsi="Helvetica" w:cs="David"/>
          <w:sz w:val="22"/>
          <w:szCs w:val="22"/>
          <w:rtl/>
        </w:rPr>
        <w:t>בשני (ההדגשות שלי-א.ק.) מסלולי התביעה האפשריים, קרי, הן בתביעה אי התאמה חוזית כספקית המסנן, והן בתביעה נזיקית כיצרנית המסנן</w:t>
      </w:r>
      <w:r w:rsidRPr="00220B66">
        <w:rPr>
          <w:rFonts w:ascii="Helvetica" w:hAnsi="Helvetica" w:cs="David"/>
          <w:sz w:val="22"/>
          <w:szCs w:val="22"/>
        </w:rPr>
        <w:t>!</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Pr>
      </w:pPr>
      <w:r w:rsidRPr="00220B66">
        <w:rPr>
          <w:rFonts w:ascii="Helvetica" w:hAnsi="Helvetica" w:cs="David"/>
          <w:sz w:val="22"/>
          <w:szCs w:val="22"/>
          <w:rtl/>
        </w:rPr>
        <w:t xml:space="preserve">מומלץ איפה לספקי המוצרים הישראלים,במידה ואינם יצרני הטובין, לבדל עצמם באופן מובחן וברור ככול שניתן מייצרן הטובין כדי ש"ביום סגריר" לא תעלה בביהמ"ש השאלה האם הספק הוא גם היצרן ועלול הספק למצוא עצמו </w:t>
      </w:r>
      <w:proofErr w:type="spellStart"/>
      <w:r w:rsidRPr="00220B66">
        <w:rPr>
          <w:rFonts w:ascii="Helvetica" w:hAnsi="Helvetica" w:cs="David"/>
          <w:sz w:val="22"/>
          <w:szCs w:val="22"/>
          <w:rtl/>
        </w:rPr>
        <w:t>במילכוד</w:t>
      </w:r>
      <w:proofErr w:type="spellEnd"/>
      <w:r w:rsidRPr="00220B66">
        <w:rPr>
          <w:rFonts w:ascii="Helvetica" w:hAnsi="Helvetica" w:cs="David"/>
          <w:sz w:val="22"/>
          <w:szCs w:val="22"/>
          <w:rtl/>
        </w:rPr>
        <w:t xml:space="preserve"> של תביעה חוזית מצד אחד ותביעה נזיקית מאידך</w:t>
      </w:r>
      <w:r w:rsidRPr="00220B66">
        <w:rPr>
          <w:rFonts w:ascii="Helvetica" w:hAnsi="Helvetica" w:cs="David"/>
          <w:sz w:val="22"/>
          <w:szCs w:val="22"/>
        </w:rPr>
        <w:t>.</w:t>
      </w:r>
    </w:p>
    <w:p w:rsidR="003D7088" w:rsidRPr="004D3D60" w:rsidRDefault="003D7088" w:rsidP="003D7088">
      <w:pPr>
        <w:jc w:val="both"/>
        <w:rPr>
          <w:rFonts w:cs="David" w:hint="cs"/>
          <w:b/>
          <w:bCs/>
          <w:rtl/>
        </w:rPr>
      </w:pPr>
      <w:r w:rsidRPr="004D3D60">
        <w:rPr>
          <w:rFonts w:ascii="Verdana" w:hAnsi="Verdana" w:cs="David" w:hint="cs"/>
          <w:b/>
          <w:bCs/>
          <w:color w:val="000000"/>
          <w:rtl/>
        </w:rPr>
        <w:t>הערה: המידע המפורט לעיל הינו מידע כללי בנושא</w:t>
      </w:r>
      <w:r w:rsidRPr="004D3D60">
        <w:rPr>
          <w:rFonts w:ascii="Verdana" w:hAnsi="Verdana" w:cs="David"/>
          <w:b/>
          <w:bCs/>
          <w:color w:val="000000"/>
        </w:rPr>
        <w:t xml:space="preserve"> </w:t>
      </w:r>
      <w:r w:rsidRPr="004D3D60">
        <w:rPr>
          <w:rStyle w:val="a3"/>
          <w:rFonts w:ascii="Verdana" w:hAnsi="Verdana" w:cs="David" w:hint="cs"/>
          <w:color w:val="000000"/>
          <w:rtl/>
        </w:rPr>
        <w:t>המאמר</w:t>
      </w:r>
      <w:r w:rsidRPr="004D3D60">
        <w:rPr>
          <w:rFonts w:ascii="Verdana" w:hAnsi="Verdana" w:cs="David"/>
          <w:b/>
          <w:bCs/>
          <w:color w:val="000000"/>
        </w:rPr>
        <w:t xml:space="preserve"> </w:t>
      </w:r>
      <w:r w:rsidRPr="004D3D60">
        <w:rPr>
          <w:rFonts w:ascii="Verdana" w:hAnsi="Verdana" w:cs="David" w:hint="cs"/>
          <w:b/>
          <w:bCs/>
          <w:color w:val="000000"/>
          <w:rtl/>
        </w:rPr>
        <w:t>ואינו</w:t>
      </w:r>
      <w:r w:rsidRPr="004D3D60">
        <w:rPr>
          <w:rFonts w:ascii="Verdana" w:hAnsi="Verdana" w:cs="David"/>
          <w:b/>
          <w:bCs/>
          <w:color w:val="000000"/>
        </w:rPr>
        <w:t xml:space="preserve"> </w:t>
      </w:r>
      <w:r w:rsidRPr="004D3D60">
        <w:rPr>
          <w:rFonts w:ascii="Verdana" w:hAnsi="Verdana" w:cs="David" w:hint="cs"/>
          <w:b/>
          <w:bCs/>
          <w:color w:val="000000"/>
          <w:rtl/>
        </w:rPr>
        <w:t>בא להחליף את הוראות החוק והתקנות הרלבנטיים ואינו מהווה תחליף</w:t>
      </w:r>
      <w:r w:rsidRPr="004D3D60">
        <w:rPr>
          <w:rFonts w:ascii="Verdana" w:hAnsi="Verdana" w:cs="David"/>
          <w:b/>
          <w:bCs/>
          <w:color w:val="000000"/>
        </w:rPr>
        <w:t xml:space="preserve"> </w:t>
      </w:r>
      <w:r w:rsidRPr="004D3D60">
        <w:rPr>
          <w:rFonts w:ascii="Verdana" w:hAnsi="Verdana" w:cs="David" w:hint="cs"/>
          <w:b/>
          <w:bCs/>
          <w:color w:val="000000"/>
          <w:rtl/>
        </w:rPr>
        <w:t>לייעוץ משפטי</w:t>
      </w:r>
    </w:p>
    <w:p w:rsidR="003D7088" w:rsidRPr="001D1682" w:rsidRDefault="003D7088" w:rsidP="003D7088">
      <w:pPr>
        <w:ind w:hanging="199"/>
        <w:jc w:val="both"/>
        <w:rPr>
          <w:rFonts w:cs="David" w:hint="cs"/>
          <w:b/>
          <w:bCs/>
          <w:i/>
          <w:iCs/>
          <w:rtl/>
        </w:rPr>
      </w:pPr>
      <w:r w:rsidRPr="001D1682">
        <w:rPr>
          <w:rFonts w:cs="David" w:hint="cs"/>
          <w:b/>
          <w:bCs/>
          <w:rtl/>
        </w:rPr>
        <w:t xml:space="preserve">* הכותב הינו עו"ד המייסד של משרד א. </w:t>
      </w:r>
      <w:proofErr w:type="spellStart"/>
      <w:r w:rsidRPr="001D1682">
        <w:rPr>
          <w:rFonts w:cs="David" w:hint="cs"/>
          <w:b/>
          <w:bCs/>
          <w:rtl/>
        </w:rPr>
        <w:t>קריאל</w:t>
      </w:r>
      <w:proofErr w:type="spellEnd"/>
      <w:r w:rsidRPr="001D1682">
        <w:rPr>
          <w:rFonts w:cs="David" w:hint="cs"/>
          <w:b/>
          <w:bCs/>
          <w:rtl/>
        </w:rPr>
        <w:t xml:space="preserve">-משרד עורכי דין ונוטריון, המטפל בתחומי המשפט המסחרי והבינ"ל, דיני חברות ותאגידים, דיני חוזים ומכרזים, מיזוגים ורכישות ופיתוח </w:t>
      </w:r>
      <w:proofErr w:type="spellStart"/>
      <w:r w:rsidRPr="001D1682">
        <w:rPr>
          <w:rFonts w:cs="David" w:hint="cs"/>
          <w:b/>
          <w:bCs/>
          <w:rtl/>
        </w:rPr>
        <w:t>עיסקי</w:t>
      </w:r>
      <w:proofErr w:type="spellEnd"/>
      <w:r w:rsidRPr="001D1682">
        <w:rPr>
          <w:rFonts w:cs="David" w:hint="cs"/>
          <w:b/>
          <w:bCs/>
          <w:rtl/>
        </w:rPr>
        <w:t xml:space="preserve">, דיני קניין רוחני, ליווי וייצוג מול רשויות ובתביעות צרכניות, שיקום ופירוק חברות ומעניק לקוחותיו שירותי ייעוץ משפטי כללי ושרותי נוטריון ותרגומים משפטיים. </w:t>
      </w:r>
    </w:p>
    <w:p w:rsidR="003D7088" w:rsidRPr="001D1682" w:rsidRDefault="003D7088" w:rsidP="003D7088">
      <w:pPr>
        <w:jc w:val="center"/>
        <w:rPr>
          <w:rFonts w:cs="David" w:hint="cs"/>
          <w:b/>
          <w:bCs/>
          <w:rtl/>
        </w:rPr>
      </w:pPr>
      <w:r w:rsidRPr="001D1682">
        <w:rPr>
          <w:rFonts w:cs="David" w:hint="cs"/>
          <w:b/>
          <w:bCs/>
          <w:rtl/>
        </w:rPr>
        <w:t xml:space="preserve">לפרטים נוספים בנושא ניתן ליצור קשר באמצעות הדוא"ל: </w:t>
      </w:r>
      <w:r w:rsidRPr="001D1682">
        <w:rPr>
          <w:rFonts w:cs="David"/>
          <w:b/>
          <w:bCs/>
        </w:rPr>
        <w:t>Assaf@AKlawfirm.co.il</w:t>
      </w:r>
    </w:p>
    <w:p w:rsidR="00220B66" w:rsidRPr="00220B66" w:rsidRDefault="00220B66" w:rsidP="00220B66">
      <w:pPr>
        <w:pStyle w:val="NormalWeb"/>
        <w:shd w:val="clear" w:color="auto" w:fill="FFFFFF"/>
        <w:bidi/>
        <w:spacing w:before="204" w:beforeAutospacing="0" w:after="204" w:afterAutospacing="0"/>
        <w:textAlignment w:val="baseline"/>
        <w:rPr>
          <w:rFonts w:ascii="Helvetica" w:hAnsi="Helvetica" w:cs="David"/>
          <w:sz w:val="22"/>
          <w:szCs w:val="22"/>
        </w:rPr>
      </w:pPr>
    </w:p>
    <w:p w:rsidR="0060127E" w:rsidRPr="00220B66" w:rsidRDefault="0060127E" w:rsidP="00220B66">
      <w:pPr>
        <w:rPr>
          <w:rFonts w:cs="David"/>
        </w:rPr>
      </w:pPr>
    </w:p>
    <w:sectPr w:rsidR="0060127E" w:rsidRPr="00220B66" w:rsidSect="00D83139">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David">
    <w:panose1 w:val="020E0502060401010101"/>
    <w:charset w:val="B1"/>
    <w:family w:val="swiss"/>
    <w:pitch w:val="variable"/>
    <w:sig w:usb0="00000801" w:usb1="00000000" w:usb2="00000000" w:usb3="00000000" w:csb0="0000002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220B66"/>
    <w:rsid w:val="0000067B"/>
    <w:rsid w:val="00004B30"/>
    <w:rsid w:val="00005677"/>
    <w:rsid w:val="00011B7F"/>
    <w:rsid w:val="00017D55"/>
    <w:rsid w:val="00020F82"/>
    <w:rsid w:val="00026C44"/>
    <w:rsid w:val="00035446"/>
    <w:rsid w:val="00041DDC"/>
    <w:rsid w:val="00043C14"/>
    <w:rsid w:val="00043FE8"/>
    <w:rsid w:val="00044955"/>
    <w:rsid w:val="0005657C"/>
    <w:rsid w:val="000573ED"/>
    <w:rsid w:val="000574BD"/>
    <w:rsid w:val="00065434"/>
    <w:rsid w:val="000830CF"/>
    <w:rsid w:val="0008377A"/>
    <w:rsid w:val="00083F9E"/>
    <w:rsid w:val="000A0D46"/>
    <w:rsid w:val="000B41EE"/>
    <w:rsid w:val="000B7B0E"/>
    <w:rsid w:val="000B7CA7"/>
    <w:rsid w:val="000C0335"/>
    <w:rsid w:val="000C0C5D"/>
    <w:rsid w:val="000C2361"/>
    <w:rsid w:val="000C7078"/>
    <w:rsid w:val="000D1562"/>
    <w:rsid w:val="000D361A"/>
    <w:rsid w:val="000D40AC"/>
    <w:rsid w:val="000D6308"/>
    <w:rsid w:val="000F649B"/>
    <w:rsid w:val="00100CA1"/>
    <w:rsid w:val="0011359A"/>
    <w:rsid w:val="0011668C"/>
    <w:rsid w:val="00126D78"/>
    <w:rsid w:val="00141657"/>
    <w:rsid w:val="00143C22"/>
    <w:rsid w:val="001445FF"/>
    <w:rsid w:val="00160750"/>
    <w:rsid w:val="0016269C"/>
    <w:rsid w:val="0018199E"/>
    <w:rsid w:val="00183A61"/>
    <w:rsid w:val="001862CF"/>
    <w:rsid w:val="00191270"/>
    <w:rsid w:val="001A04B8"/>
    <w:rsid w:val="001A4550"/>
    <w:rsid w:val="001C11C4"/>
    <w:rsid w:val="001F311C"/>
    <w:rsid w:val="00202514"/>
    <w:rsid w:val="002063B5"/>
    <w:rsid w:val="00220B66"/>
    <w:rsid w:val="002318B6"/>
    <w:rsid w:val="00240F7C"/>
    <w:rsid w:val="00245247"/>
    <w:rsid w:val="0024589B"/>
    <w:rsid w:val="00245DC1"/>
    <w:rsid w:val="00272636"/>
    <w:rsid w:val="002743FC"/>
    <w:rsid w:val="002959B6"/>
    <w:rsid w:val="00296753"/>
    <w:rsid w:val="002975C1"/>
    <w:rsid w:val="002A3859"/>
    <w:rsid w:val="002B3D8E"/>
    <w:rsid w:val="002B3E04"/>
    <w:rsid w:val="002C13A8"/>
    <w:rsid w:val="002D7674"/>
    <w:rsid w:val="002E466D"/>
    <w:rsid w:val="002F5E02"/>
    <w:rsid w:val="002F5F3F"/>
    <w:rsid w:val="00303190"/>
    <w:rsid w:val="00313A0F"/>
    <w:rsid w:val="003176EE"/>
    <w:rsid w:val="00321AC6"/>
    <w:rsid w:val="00326EBD"/>
    <w:rsid w:val="00330151"/>
    <w:rsid w:val="00330DCB"/>
    <w:rsid w:val="003335B6"/>
    <w:rsid w:val="0033705D"/>
    <w:rsid w:val="0033765F"/>
    <w:rsid w:val="00355074"/>
    <w:rsid w:val="003551D5"/>
    <w:rsid w:val="00377BEF"/>
    <w:rsid w:val="00380BA4"/>
    <w:rsid w:val="00384ABD"/>
    <w:rsid w:val="003A63FF"/>
    <w:rsid w:val="003B12C5"/>
    <w:rsid w:val="003C088D"/>
    <w:rsid w:val="003D4D1E"/>
    <w:rsid w:val="003D7088"/>
    <w:rsid w:val="003E5367"/>
    <w:rsid w:val="003E7A6F"/>
    <w:rsid w:val="004008BC"/>
    <w:rsid w:val="004132BB"/>
    <w:rsid w:val="00416F88"/>
    <w:rsid w:val="00426143"/>
    <w:rsid w:val="004310A6"/>
    <w:rsid w:val="004316C8"/>
    <w:rsid w:val="00440ACC"/>
    <w:rsid w:val="00443BC6"/>
    <w:rsid w:val="0044625C"/>
    <w:rsid w:val="004474EF"/>
    <w:rsid w:val="00461B68"/>
    <w:rsid w:val="0046345E"/>
    <w:rsid w:val="004811AD"/>
    <w:rsid w:val="004953B8"/>
    <w:rsid w:val="004A70CC"/>
    <w:rsid w:val="004C127C"/>
    <w:rsid w:val="004C2C5C"/>
    <w:rsid w:val="004D50EB"/>
    <w:rsid w:val="004E6571"/>
    <w:rsid w:val="004F1BE9"/>
    <w:rsid w:val="004F37E9"/>
    <w:rsid w:val="004F45FB"/>
    <w:rsid w:val="004F5EAB"/>
    <w:rsid w:val="00504A00"/>
    <w:rsid w:val="00520A20"/>
    <w:rsid w:val="00526266"/>
    <w:rsid w:val="005340D6"/>
    <w:rsid w:val="005375B8"/>
    <w:rsid w:val="005411E7"/>
    <w:rsid w:val="00542BB0"/>
    <w:rsid w:val="005467EF"/>
    <w:rsid w:val="00562F4F"/>
    <w:rsid w:val="00567069"/>
    <w:rsid w:val="00567AC0"/>
    <w:rsid w:val="00577302"/>
    <w:rsid w:val="005821D2"/>
    <w:rsid w:val="00586B4C"/>
    <w:rsid w:val="00591269"/>
    <w:rsid w:val="00595AB7"/>
    <w:rsid w:val="0059787B"/>
    <w:rsid w:val="005A26B4"/>
    <w:rsid w:val="005B098D"/>
    <w:rsid w:val="005B4915"/>
    <w:rsid w:val="005C233D"/>
    <w:rsid w:val="005C56DB"/>
    <w:rsid w:val="005C6F47"/>
    <w:rsid w:val="005D08E0"/>
    <w:rsid w:val="005D2065"/>
    <w:rsid w:val="005D284B"/>
    <w:rsid w:val="005E47BC"/>
    <w:rsid w:val="0060127E"/>
    <w:rsid w:val="00610044"/>
    <w:rsid w:val="006136CA"/>
    <w:rsid w:val="006159D4"/>
    <w:rsid w:val="006172F4"/>
    <w:rsid w:val="0063256B"/>
    <w:rsid w:val="006357ED"/>
    <w:rsid w:val="00640911"/>
    <w:rsid w:val="006479FF"/>
    <w:rsid w:val="00651D82"/>
    <w:rsid w:val="006563E3"/>
    <w:rsid w:val="00661812"/>
    <w:rsid w:val="00666D13"/>
    <w:rsid w:val="006916A9"/>
    <w:rsid w:val="00692115"/>
    <w:rsid w:val="00696013"/>
    <w:rsid w:val="006A1DA3"/>
    <w:rsid w:val="006B47A4"/>
    <w:rsid w:val="006B7688"/>
    <w:rsid w:val="006D0715"/>
    <w:rsid w:val="006D5957"/>
    <w:rsid w:val="006E790C"/>
    <w:rsid w:val="006F5AE1"/>
    <w:rsid w:val="007000BE"/>
    <w:rsid w:val="0070188A"/>
    <w:rsid w:val="007026CE"/>
    <w:rsid w:val="007032C3"/>
    <w:rsid w:val="007053CC"/>
    <w:rsid w:val="007136A7"/>
    <w:rsid w:val="00722499"/>
    <w:rsid w:val="007305E7"/>
    <w:rsid w:val="007307AC"/>
    <w:rsid w:val="007322DB"/>
    <w:rsid w:val="00742E0B"/>
    <w:rsid w:val="0074366D"/>
    <w:rsid w:val="007446EC"/>
    <w:rsid w:val="00744CBD"/>
    <w:rsid w:val="0077426D"/>
    <w:rsid w:val="007808EE"/>
    <w:rsid w:val="00784BCA"/>
    <w:rsid w:val="00786B80"/>
    <w:rsid w:val="007957A3"/>
    <w:rsid w:val="007A30C6"/>
    <w:rsid w:val="007B1D73"/>
    <w:rsid w:val="007B391E"/>
    <w:rsid w:val="007B7773"/>
    <w:rsid w:val="007C1F6F"/>
    <w:rsid w:val="007C35F3"/>
    <w:rsid w:val="007D211B"/>
    <w:rsid w:val="007D27F3"/>
    <w:rsid w:val="007D293B"/>
    <w:rsid w:val="007F618A"/>
    <w:rsid w:val="0080076C"/>
    <w:rsid w:val="00801554"/>
    <w:rsid w:val="00804CC7"/>
    <w:rsid w:val="00805924"/>
    <w:rsid w:val="00812CCD"/>
    <w:rsid w:val="008163CD"/>
    <w:rsid w:val="00816C45"/>
    <w:rsid w:val="00825B67"/>
    <w:rsid w:val="00836808"/>
    <w:rsid w:val="00837732"/>
    <w:rsid w:val="00845046"/>
    <w:rsid w:val="00867D34"/>
    <w:rsid w:val="0087463A"/>
    <w:rsid w:val="00877EBD"/>
    <w:rsid w:val="00881532"/>
    <w:rsid w:val="00894FAB"/>
    <w:rsid w:val="008B0AD6"/>
    <w:rsid w:val="008B5593"/>
    <w:rsid w:val="008B7FD6"/>
    <w:rsid w:val="008C34FF"/>
    <w:rsid w:val="008D50FD"/>
    <w:rsid w:val="008E3954"/>
    <w:rsid w:val="00912A11"/>
    <w:rsid w:val="00912F20"/>
    <w:rsid w:val="009257BD"/>
    <w:rsid w:val="00932E37"/>
    <w:rsid w:val="00934997"/>
    <w:rsid w:val="00934CFF"/>
    <w:rsid w:val="00940E26"/>
    <w:rsid w:val="00980167"/>
    <w:rsid w:val="009869F1"/>
    <w:rsid w:val="0099585A"/>
    <w:rsid w:val="009C2415"/>
    <w:rsid w:val="009C3D66"/>
    <w:rsid w:val="009C3E11"/>
    <w:rsid w:val="009C7037"/>
    <w:rsid w:val="009D27CA"/>
    <w:rsid w:val="009E06F4"/>
    <w:rsid w:val="009E733F"/>
    <w:rsid w:val="009F10A0"/>
    <w:rsid w:val="00A139A6"/>
    <w:rsid w:val="00A1664E"/>
    <w:rsid w:val="00A24A03"/>
    <w:rsid w:val="00A3629A"/>
    <w:rsid w:val="00A41214"/>
    <w:rsid w:val="00A519A8"/>
    <w:rsid w:val="00A57B5F"/>
    <w:rsid w:val="00A64744"/>
    <w:rsid w:val="00A90562"/>
    <w:rsid w:val="00AA619A"/>
    <w:rsid w:val="00AB18CB"/>
    <w:rsid w:val="00AB2FAD"/>
    <w:rsid w:val="00AB3205"/>
    <w:rsid w:val="00AC433D"/>
    <w:rsid w:val="00AD01F5"/>
    <w:rsid w:val="00AD259A"/>
    <w:rsid w:val="00AD5B2A"/>
    <w:rsid w:val="00AE1638"/>
    <w:rsid w:val="00AE1874"/>
    <w:rsid w:val="00AE4A89"/>
    <w:rsid w:val="00AF4D15"/>
    <w:rsid w:val="00B00A6B"/>
    <w:rsid w:val="00B20C26"/>
    <w:rsid w:val="00B2278E"/>
    <w:rsid w:val="00B25E3B"/>
    <w:rsid w:val="00B340C9"/>
    <w:rsid w:val="00B36B30"/>
    <w:rsid w:val="00B36F5F"/>
    <w:rsid w:val="00B37963"/>
    <w:rsid w:val="00B43BC7"/>
    <w:rsid w:val="00B476A0"/>
    <w:rsid w:val="00B6342F"/>
    <w:rsid w:val="00B72187"/>
    <w:rsid w:val="00B7573A"/>
    <w:rsid w:val="00B76075"/>
    <w:rsid w:val="00B968A9"/>
    <w:rsid w:val="00BC2F70"/>
    <w:rsid w:val="00BC64FD"/>
    <w:rsid w:val="00BD024D"/>
    <w:rsid w:val="00BD2126"/>
    <w:rsid w:val="00BE43CE"/>
    <w:rsid w:val="00C002C1"/>
    <w:rsid w:val="00C17A09"/>
    <w:rsid w:val="00C26A5B"/>
    <w:rsid w:val="00C279A9"/>
    <w:rsid w:val="00C30D9C"/>
    <w:rsid w:val="00C31D05"/>
    <w:rsid w:val="00C404E4"/>
    <w:rsid w:val="00C60348"/>
    <w:rsid w:val="00C620D6"/>
    <w:rsid w:val="00C65015"/>
    <w:rsid w:val="00C6513E"/>
    <w:rsid w:val="00C72D58"/>
    <w:rsid w:val="00C83241"/>
    <w:rsid w:val="00C84352"/>
    <w:rsid w:val="00C85A18"/>
    <w:rsid w:val="00CA26A5"/>
    <w:rsid w:val="00CC0B38"/>
    <w:rsid w:val="00CD5F31"/>
    <w:rsid w:val="00CD714B"/>
    <w:rsid w:val="00CF3860"/>
    <w:rsid w:val="00CF3E25"/>
    <w:rsid w:val="00CF4588"/>
    <w:rsid w:val="00D028FC"/>
    <w:rsid w:val="00D03CE5"/>
    <w:rsid w:val="00D05818"/>
    <w:rsid w:val="00D21870"/>
    <w:rsid w:val="00D22B2A"/>
    <w:rsid w:val="00D22C35"/>
    <w:rsid w:val="00D22E55"/>
    <w:rsid w:val="00D2609D"/>
    <w:rsid w:val="00D36F94"/>
    <w:rsid w:val="00D40A02"/>
    <w:rsid w:val="00D4729D"/>
    <w:rsid w:val="00D47DD8"/>
    <w:rsid w:val="00D5067B"/>
    <w:rsid w:val="00D522C9"/>
    <w:rsid w:val="00D70F0F"/>
    <w:rsid w:val="00D82A6F"/>
    <w:rsid w:val="00D83139"/>
    <w:rsid w:val="00D87710"/>
    <w:rsid w:val="00D9123C"/>
    <w:rsid w:val="00D973B3"/>
    <w:rsid w:val="00DB0D04"/>
    <w:rsid w:val="00DC3109"/>
    <w:rsid w:val="00DE0C70"/>
    <w:rsid w:val="00DE1C59"/>
    <w:rsid w:val="00DE35E9"/>
    <w:rsid w:val="00DE3B29"/>
    <w:rsid w:val="00DE6EEC"/>
    <w:rsid w:val="00E000BB"/>
    <w:rsid w:val="00E06EFE"/>
    <w:rsid w:val="00E14F7F"/>
    <w:rsid w:val="00E2127C"/>
    <w:rsid w:val="00E23612"/>
    <w:rsid w:val="00E23E1C"/>
    <w:rsid w:val="00E2579C"/>
    <w:rsid w:val="00E30D90"/>
    <w:rsid w:val="00E31D7B"/>
    <w:rsid w:val="00E47BFA"/>
    <w:rsid w:val="00E5530C"/>
    <w:rsid w:val="00E71893"/>
    <w:rsid w:val="00E74B2C"/>
    <w:rsid w:val="00E80772"/>
    <w:rsid w:val="00E908FC"/>
    <w:rsid w:val="00E90FEF"/>
    <w:rsid w:val="00E928A6"/>
    <w:rsid w:val="00E94994"/>
    <w:rsid w:val="00E97B8E"/>
    <w:rsid w:val="00EA18AE"/>
    <w:rsid w:val="00EA3C9D"/>
    <w:rsid w:val="00EA5990"/>
    <w:rsid w:val="00EB3797"/>
    <w:rsid w:val="00EB68A2"/>
    <w:rsid w:val="00EC03AA"/>
    <w:rsid w:val="00EC4352"/>
    <w:rsid w:val="00EC7781"/>
    <w:rsid w:val="00ED1A0E"/>
    <w:rsid w:val="00EE5D46"/>
    <w:rsid w:val="00EE5D9C"/>
    <w:rsid w:val="00EF06E0"/>
    <w:rsid w:val="00F023D1"/>
    <w:rsid w:val="00F05FA0"/>
    <w:rsid w:val="00F062C2"/>
    <w:rsid w:val="00F10B5B"/>
    <w:rsid w:val="00F1140E"/>
    <w:rsid w:val="00F14A32"/>
    <w:rsid w:val="00F23070"/>
    <w:rsid w:val="00F23586"/>
    <w:rsid w:val="00F41C51"/>
    <w:rsid w:val="00F435B2"/>
    <w:rsid w:val="00F51BBE"/>
    <w:rsid w:val="00F56AC8"/>
    <w:rsid w:val="00F85215"/>
    <w:rsid w:val="00F943F7"/>
    <w:rsid w:val="00FA7AFD"/>
    <w:rsid w:val="00FB1D79"/>
    <w:rsid w:val="00FB3B30"/>
    <w:rsid w:val="00FB783A"/>
    <w:rsid w:val="00FB7FA7"/>
    <w:rsid w:val="00FC5DF6"/>
    <w:rsid w:val="00FD4B3E"/>
    <w:rsid w:val="00FE1B51"/>
    <w:rsid w:val="00FF1D86"/>
    <w:rsid w:val="00FF7B1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127E"/>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220B6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qFormat/>
    <w:rsid w:val="003D7088"/>
    <w:rPr>
      <w:b/>
      <w:bCs/>
    </w:rPr>
  </w:style>
</w:styles>
</file>

<file path=word/webSettings.xml><?xml version="1.0" encoding="utf-8"?>
<w:webSettings xmlns:r="http://schemas.openxmlformats.org/officeDocument/2006/relationships" xmlns:w="http://schemas.openxmlformats.org/wordprocessingml/2006/main">
  <w:divs>
    <w:div w:id="231938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650</Words>
  <Characters>3252</Characters>
  <Application>Microsoft Office Word</Application>
  <DocSecurity>0</DocSecurity>
  <Lines>27</Lines>
  <Paragraphs>7</Paragraphs>
  <ScaleCrop>false</ScaleCrop>
  <Company/>
  <LinksUpToDate>false</LinksUpToDate>
  <CharactersWithSpaces>3895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Assaf Kriel, Advocate.</dc:creator>
  <cp:lastModifiedBy>Assaf Kriel, Advocate.</cp:lastModifiedBy>
  <cp:revision>2</cp:revision>
  <dcterms:created xsi:type="dcterms:W3CDTF">2018-01-23T16:19:00Z</dcterms:created>
  <dcterms:modified xsi:type="dcterms:W3CDTF">2018-01-23T16:42:00Z</dcterms:modified>
</cp:coreProperties>
</file>